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74988" w14:textId="1D1D28A6" w:rsidR="00AD31CF" w:rsidRDefault="0051611E" w:rsidP="008F728A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5680" behindDoc="0" locked="0" layoutInCell="1" allowOverlap="1" wp14:anchorId="5684E080" wp14:editId="388E4002">
            <wp:simplePos x="0" y="0"/>
            <wp:positionH relativeFrom="column">
              <wp:posOffset>5017770</wp:posOffset>
            </wp:positionH>
            <wp:positionV relativeFrom="paragraph">
              <wp:posOffset>-492760</wp:posOffset>
            </wp:positionV>
            <wp:extent cx="1879600" cy="939800"/>
            <wp:effectExtent l="0" t="0" r="6350" b="0"/>
            <wp:wrapNone/>
            <wp:docPr id="142374253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742530" name="Picture 1" descr="A close-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611E">
        <w:rPr>
          <w:rFonts w:ascii="Arial Narrow" w:eastAsia="Times New Roman" w:hAnsi="Arial Narrow" w:cs="Times New Roman"/>
          <w:b/>
          <w:i/>
          <w:noProof/>
          <w:kern w:val="0"/>
          <w:sz w:val="48"/>
          <w:szCs w:val="24"/>
          <w14:ligatures w14:val="none"/>
        </w:rPr>
        <w:drawing>
          <wp:anchor distT="0" distB="0" distL="114300" distR="114300" simplePos="0" relativeHeight="251660800" behindDoc="0" locked="0" layoutInCell="1" allowOverlap="1" wp14:anchorId="69C721F1" wp14:editId="596DCE79">
            <wp:simplePos x="0" y="0"/>
            <wp:positionH relativeFrom="column">
              <wp:posOffset>-335280</wp:posOffset>
            </wp:positionH>
            <wp:positionV relativeFrom="paragraph">
              <wp:posOffset>-302260</wp:posOffset>
            </wp:positionV>
            <wp:extent cx="3862705" cy="551815"/>
            <wp:effectExtent l="0" t="0" r="0" b="635"/>
            <wp:wrapNone/>
            <wp:docPr id="7" name="Picture 7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ack background with red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70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61B73" w14:textId="36956069" w:rsidR="00AD31CF" w:rsidRDefault="00AD31CF" w:rsidP="008F728A">
      <w:pPr>
        <w:spacing w:after="0"/>
        <w:jc w:val="center"/>
        <w:rPr>
          <w:b/>
          <w:bCs/>
        </w:rPr>
      </w:pPr>
    </w:p>
    <w:p w14:paraId="3EB51C9A" w14:textId="77777777" w:rsidR="0051611E" w:rsidRDefault="0051611E" w:rsidP="008F728A">
      <w:pPr>
        <w:spacing w:after="0"/>
        <w:jc w:val="center"/>
        <w:rPr>
          <w:b/>
          <w:bCs/>
        </w:rPr>
      </w:pPr>
    </w:p>
    <w:p w14:paraId="030316FD" w14:textId="5E4957AB" w:rsidR="00F51CDD" w:rsidRPr="002F55B1" w:rsidRDefault="002C358F" w:rsidP="008F728A">
      <w:pPr>
        <w:spacing w:after="0"/>
        <w:jc w:val="center"/>
        <w:rPr>
          <w:b/>
          <w:bCs/>
        </w:rPr>
      </w:pPr>
      <w:r w:rsidRPr="002F55B1">
        <w:rPr>
          <w:b/>
          <w:bCs/>
        </w:rPr>
        <w:t>ICTR’s Learning Health Systems Partnership with UW Health:</w:t>
      </w:r>
    </w:p>
    <w:p w14:paraId="70B6BBCF" w14:textId="1B6CFECA" w:rsidR="002C358F" w:rsidRPr="002F55B1" w:rsidRDefault="002C358F" w:rsidP="008F728A">
      <w:pPr>
        <w:spacing w:after="0"/>
        <w:jc w:val="center"/>
        <w:rPr>
          <w:b/>
          <w:bCs/>
        </w:rPr>
      </w:pPr>
      <w:r w:rsidRPr="002F55B1">
        <w:rPr>
          <w:b/>
          <w:bCs/>
        </w:rPr>
        <w:t>Igniting Improvements through Data</w:t>
      </w:r>
      <w:r w:rsidR="00FF4144">
        <w:rPr>
          <w:b/>
          <w:bCs/>
        </w:rPr>
        <w:t xml:space="preserve"> Science</w:t>
      </w:r>
      <w:r w:rsidRPr="002F55B1">
        <w:rPr>
          <w:b/>
          <w:bCs/>
        </w:rPr>
        <w:t xml:space="preserve">, Pragmatic Trials, and Cross-Discipline Collaboration </w:t>
      </w:r>
    </w:p>
    <w:p w14:paraId="78493ACE" w14:textId="201EB19F" w:rsidR="00FF0BFC" w:rsidRPr="00480074" w:rsidRDefault="00683807" w:rsidP="002E0F21">
      <w:pPr>
        <w:rPr>
          <w:b/>
          <w:bCs/>
        </w:rPr>
      </w:pPr>
      <w:r>
        <w:rPr>
          <w:b/>
          <w:bCs/>
        </w:rPr>
        <w:br/>
      </w:r>
      <w:r w:rsidR="00D534B6" w:rsidRPr="00480074">
        <w:rPr>
          <w:b/>
          <w:bCs/>
        </w:rPr>
        <w:t>Goals:</w:t>
      </w:r>
      <w:r w:rsidR="00D534B6" w:rsidRPr="00480074">
        <w:rPr>
          <w:b/>
          <w:bCs/>
        </w:rPr>
        <w:tab/>
      </w:r>
      <w:r w:rsidR="008E702B" w:rsidRPr="00480074">
        <w:rPr>
          <w:b/>
          <w:bCs/>
        </w:rPr>
        <w:tab/>
      </w:r>
    </w:p>
    <w:p w14:paraId="24B2A99C" w14:textId="77777777" w:rsidR="008F728A" w:rsidRDefault="008F728A" w:rsidP="002E0F21">
      <w:pPr>
        <w:pStyle w:val="ListParagraph"/>
        <w:numPr>
          <w:ilvl w:val="0"/>
          <w:numId w:val="1"/>
        </w:numPr>
      </w:pPr>
      <w:r>
        <w:rPr>
          <w:b/>
          <w:bCs/>
        </w:rPr>
        <w:t>E</w:t>
      </w:r>
      <w:r w:rsidR="008E702B" w:rsidRPr="008F728A">
        <w:rPr>
          <w:b/>
          <w:bCs/>
        </w:rPr>
        <w:t>ducate</w:t>
      </w:r>
      <w:r w:rsidR="008E702B">
        <w:t xml:space="preserve"> UW Health clinical</w:t>
      </w:r>
      <w:r w:rsidR="002E0F21">
        <w:t xml:space="preserve"> faculty</w:t>
      </w:r>
      <w:r w:rsidR="008E702B">
        <w:t xml:space="preserve"> and UW-Madison research</w:t>
      </w:r>
      <w:r w:rsidR="002E0F21">
        <w:t xml:space="preserve">ers about </w:t>
      </w:r>
      <w:r w:rsidR="00FF4144">
        <w:t>the benefits</w:t>
      </w:r>
      <w:r w:rsidR="00D201D6">
        <w:t xml:space="preserve"> and </w:t>
      </w:r>
      <w:r w:rsidR="002E0F21">
        <w:t>opportunities that ICTR’s Learning Health Systems</w:t>
      </w:r>
      <w:r w:rsidR="007B22BD">
        <w:t xml:space="preserve"> </w:t>
      </w:r>
      <w:r w:rsidR="00894199">
        <w:t>Collaboratory</w:t>
      </w:r>
      <w:r w:rsidR="007B22BD">
        <w:t xml:space="preserve"> approach </w:t>
      </w:r>
      <w:r w:rsidR="002E0F21">
        <w:t xml:space="preserve">brings to </w:t>
      </w:r>
      <w:r w:rsidR="00FF4144">
        <w:t>address the quintuple aims of health</w:t>
      </w:r>
      <w:r w:rsidR="002A35D8">
        <w:t xml:space="preserve"> care</w:t>
      </w:r>
      <w:r>
        <w:t>.</w:t>
      </w:r>
    </w:p>
    <w:p w14:paraId="7BBA39F7" w14:textId="7B5399DC" w:rsidR="008F728A" w:rsidRDefault="00DF76D1" w:rsidP="002E0F21">
      <w:pPr>
        <w:pStyle w:val="ListParagraph"/>
        <w:numPr>
          <w:ilvl w:val="0"/>
          <w:numId w:val="1"/>
        </w:numPr>
      </w:pPr>
      <w:r>
        <w:rPr>
          <w:b/>
          <w:bCs/>
        </w:rPr>
        <w:t>Motivat</w:t>
      </w:r>
      <w:r w:rsidR="00D232D6" w:rsidRPr="008F728A">
        <w:rPr>
          <w:b/>
          <w:bCs/>
        </w:rPr>
        <w:t xml:space="preserve">e </w:t>
      </w:r>
      <w:r w:rsidR="00090F1D">
        <w:t>UW</w:t>
      </w:r>
      <w:r w:rsidR="009F3569">
        <w:t xml:space="preserve">-Madison clinical </w:t>
      </w:r>
      <w:r w:rsidR="00090F1D">
        <w:t>faculty and researchers</w:t>
      </w:r>
      <w:r w:rsidR="00D2687C">
        <w:t xml:space="preserve"> to </w:t>
      </w:r>
      <w:r w:rsidR="00FF0BFC">
        <w:t xml:space="preserve">explore avenues for </w:t>
      </w:r>
      <w:r w:rsidR="00D2687C">
        <w:t>connect</w:t>
      </w:r>
      <w:r w:rsidR="00FF0BFC">
        <w:t>ing</w:t>
      </w:r>
      <w:r w:rsidR="00D2687C">
        <w:t xml:space="preserve"> their research interests, work and priorities </w:t>
      </w:r>
      <w:r w:rsidR="00DA6FE7">
        <w:t>to UW Health</w:t>
      </w:r>
      <w:r w:rsidR="00B52796">
        <w:t xml:space="preserve">’s strategic </w:t>
      </w:r>
      <w:r w:rsidR="00FF4144">
        <w:t>priorities.</w:t>
      </w:r>
      <w:r w:rsidR="00DA6FE7">
        <w:t xml:space="preserve"> </w:t>
      </w:r>
    </w:p>
    <w:p w14:paraId="18740750" w14:textId="7B485A7F" w:rsidR="00D232D6" w:rsidRDefault="008F728A" w:rsidP="002E0F21">
      <w:pPr>
        <w:pStyle w:val="ListParagraph"/>
        <w:numPr>
          <w:ilvl w:val="0"/>
          <w:numId w:val="1"/>
        </w:numPr>
      </w:pPr>
      <w:r>
        <w:rPr>
          <w:b/>
          <w:bCs/>
        </w:rPr>
        <w:t>E</w:t>
      </w:r>
      <w:r w:rsidR="00D232D6" w:rsidRPr="008F728A">
        <w:rPr>
          <w:b/>
          <w:bCs/>
        </w:rPr>
        <w:t>ncourage</w:t>
      </w:r>
      <w:r w:rsidR="00D232D6">
        <w:t xml:space="preserve"> </w:t>
      </w:r>
      <w:r w:rsidR="009460A8">
        <w:t>clinical faculty to bring an LHS framework</w:t>
      </w:r>
      <w:r w:rsidR="00FF4144">
        <w:t xml:space="preserve"> and UW ICTR resources</w:t>
      </w:r>
      <w:r w:rsidR="009460A8">
        <w:t xml:space="preserve"> to their work and consider the possibility of </w:t>
      </w:r>
      <w:r w:rsidR="00AC0928">
        <w:t xml:space="preserve">submitting </w:t>
      </w:r>
      <w:r w:rsidR="008F1879">
        <w:t>a letter of intent to apply for the 2025 Demonstration Project</w:t>
      </w:r>
      <w:r w:rsidR="00B52796">
        <w:t>.</w:t>
      </w:r>
    </w:p>
    <w:p w14:paraId="76FEF7F7" w14:textId="751C4111" w:rsidR="00A235BD" w:rsidRDefault="00CD3C8B" w:rsidP="008F728A">
      <w:pPr>
        <w:spacing w:after="0"/>
        <w:jc w:val="both"/>
      </w:pPr>
      <w:r w:rsidRPr="00847982">
        <w:rPr>
          <w:b/>
          <w:bCs/>
        </w:rPr>
        <w:t>When:</w:t>
      </w:r>
      <w:r>
        <w:t xml:space="preserve"> </w:t>
      </w:r>
      <w:r>
        <w:tab/>
      </w:r>
      <w:r w:rsidR="00760C14">
        <w:tab/>
      </w:r>
      <w:r w:rsidR="00564FCB">
        <w:t>Friday, January 17</w:t>
      </w:r>
      <w:r w:rsidR="00564FCB" w:rsidRPr="004768BC">
        <w:rPr>
          <w:vertAlign w:val="superscript"/>
        </w:rPr>
        <w:t>th</w:t>
      </w:r>
    </w:p>
    <w:p w14:paraId="27C32231" w14:textId="5DD6CA0E" w:rsidR="00B52796" w:rsidRDefault="00760C14" w:rsidP="008F728A">
      <w:pPr>
        <w:spacing w:after="0"/>
        <w:jc w:val="both"/>
      </w:pPr>
      <w:r w:rsidRPr="00847982">
        <w:rPr>
          <w:b/>
          <w:bCs/>
        </w:rPr>
        <w:t>Where:</w:t>
      </w:r>
      <w:r>
        <w:t xml:space="preserve"> </w:t>
      </w:r>
      <w:r>
        <w:tab/>
      </w:r>
      <w:r w:rsidR="002C6871">
        <w:t>HSLC 1244 (</w:t>
      </w:r>
      <w:r w:rsidR="00E26401">
        <w:t>there will be a virtual option as well)</w:t>
      </w:r>
    </w:p>
    <w:p w14:paraId="2742E60F" w14:textId="3DA282DF" w:rsidR="00480074" w:rsidRDefault="00461DC5" w:rsidP="008F728A">
      <w:pPr>
        <w:spacing w:after="0"/>
        <w:jc w:val="both"/>
      </w:pPr>
      <w:r w:rsidRPr="00847982">
        <w:rPr>
          <w:b/>
          <w:bCs/>
        </w:rPr>
        <w:t xml:space="preserve">Time: </w:t>
      </w:r>
      <w:r w:rsidRPr="00847982">
        <w:rPr>
          <w:b/>
          <w:bCs/>
        </w:rPr>
        <w:tab/>
      </w:r>
      <w:r>
        <w:tab/>
        <w:t>1</w:t>
      </w:r>
      <w:r w:rsidR="00E53D26">
        <w:t>1</w:t>
      </w:r>
      <w:r w:rsidR="003F7C3D">
        <w:t>:00</w:t>
      </w:r>
      <w:r w:rsidR="00D67973">
        <w:t xml:space="preserve"> am</w:t>
      </w:r>
      <w:r>
        <w:t xml:space="preserve"> – 1</w:t>
      </w:r>
      <w:r w:rsidR="003F7C3D">
        <w:t>:00</w:t>
      </w:r>
      <w:r>
        <w:t xml:space="preserve"> </w:t>
      </w:r>
      <w:r w:rsidR="00D67973">
        <w:t>p</w:t>
      </w:r>
      <w:r>
        <w:t>m</w:t>
      </w:r>
      <w:r w:rsidR="00D7118C">
        <w:t xml:space="preserve"> </w:t>
      </w:r>
    </w:p>
    <w:p w14:paraId="0F44070B" w14:textId="77777777" w:rsidR="00683807" w:rsidRDefault="00683807" w:rsidP="00683807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47DD08CD" w14:textId="5D7D97A1" w:rsidR="00FB42A6" w:rsidRDefault="00D433C7" w:rsidP="00A546A3">
      <w:r>
        <w:rPr>
          <w:b/>
          <w:bCs/>
        </w:rPr>
        <w:t>11-</w:t>
      </w:r>
      <w:r w:rsidR="004A59DB">
        <w:rPr>
          <w:b/>
          <w:bCs/>
        </w:rPr>
        <w:t xml:space="preserve">11:10 </w:t>
      </w:r>
      <w:r w:rsidR="004A59DB">
        <w:rPr>
          <w:b/>
          <w:bCs/>
        </w:rPr>
        <w:tab/>
      </w:r>
      <w:r w:rsidR="003A6034" w:rsidRPr="00B84F4C">
        <w:rPr>
          <w:b/>
          <w:bCs/>
        </w:rPr>
        <w:t xml:space="preserve">The ICTR LHS Approach: Opportunity, Scope and Impact </w:t>
      </w:r>
      <w:r w:rsidR="003A6034">
        <w:t>– Majid Afshar</w:t>
      </w:r>
      <w:r w:rsidR="00DD274F">
        <w:t xml:space="preserve">, John Long </w:t>
      </w:r>
    </w:p>
    <w:p w14:paraId="7501005A" w14:textId="5AD59216" w:rsidR="00361D52" w:rsidRPr="00FB42A6" w:rsidRDefault="00FB42A6" w:rsidP="00A546A3">
      <w:r w:rsidRPr="004A59DB">
        <w:rPr>
          <w:i/>
          <w:iCs/>
        </w:rPr>
        <w:t>This introduction r</w:t>
      </w:r>
      <w:r w:rsidR="002459A1" w:rsidRPr="004A59DB">
        <w:rPr>
          <w:i/>
          <w:iCs/>
        </w:rPr>
        <w:t>ecou</w:t>
      </w:r>
      <w:r w:rsidRPr="004A59DB">
        <w:rPr>
          <w:i/>
          <w:iCs/>
        </w:rPr>
        <w:t>nts</w:t>
      </w:r>
      <w:r w:rsidR="002459A1" w:rsidRPr="004A59DB">
        <w:rPr>
          <w:i/>
          <w:iCs/>
        </w:rPr>
        <w:t xml:space="preserve"> the vision</w:t>
      </w:r>
      <w:r w:rsidR="00E761EE" w:rsidRPr="004A59DB">
        <w:rPr>
          <w:i/>
          <w:iCs/>
        </w:rPr>
        <w:t xml:space="preserve"> of the LHS program</w:t>
      </w:r>
      <w:r w:rsidRPr="004A59DB">
        <w:rPr>
          <w:i/>
          <w:iCs/>
        </w:rPr>
        <w:t xml:space="preserve">, </w:t>
      </w:r>
      <w:r w:rsidR="00E761EE" w:rsidRPr="004A59DB">
        <w:rPr>
          <w:i/>
          <w:iCs/>
        </w:rPr>
        <w:t>the opportunit</w:t>
      </w:r>
      <w:r w:rsidRPr="004A59DB">
        <w:rPr>
          <w:i/>
          <w:iCs/>
        </w:rPr>
        <w:t>ies</w:t>
      </w:r>
      <w:r w:rsidR="00E761EE" w:rsidRPr="008B1971">
        <w:rPr>
          <w:i/>
          <w:iCs/>
        </w:rPr>
        <w:t xml:space="preserve"> presented by the partnership with UW Health</w:t>
      </w:r>
      <w:r>
        <w:rPr>
          <w:i/>
          <w:iCs/>
        </w:rPr>
        <w:t>,</w:t>
      </w:r>
      <w:r w:rsidR="00E761EE" w:rsidRPr="008B1971">
        <w:rPr>
          <w:i/>
          <w:iCs/>
        </w:rPr>
        <w:t xml:space="preserve"> and </w:t>
      </w:r>
      <w:r w:rsidR="002119A5" w:rsidRPr="008B1971">
        <w:rPr>
          <w:i/>
          <w:iCs/>
        </w:rPr>
        <w:t>key impacts already made in its short history.</w:t>
      </w:r>
    </w:p>
    <w:p w14:paraId="0196A137" w14:textId="6837CABA" w:rsidR="00FA77CE" w:rsidRDefault="004A59DB" w:rsidP="00FA77CE">
      <w:r>
        <w:rPr>
          <w:b/>
          <w:bCs/>
        </w:rPr>
        <w:t xml:space="preserve">11:10-11:30 </w:t>
      </w:r>
      <w:r w:rsidR="00967D66">
        <w:rPr>
          <w:b/>
          <w:bCs/>
        </w:rPr>
        <w:tab/>
      </w:r>
      <w:r>
        <w:rPr>
          <w:b/>
          <w:bCs/>
        </w:rPr>
        <w:t xml:space="preserve"> </w:t>
      </w:r>
      <w:r w:rsidR="00BA58EE">
        <w:rPr>
          <w:b/>
          <w:bCs/>
        </w:rPr>
        <w:t>Pragmatic</w:t>
      </w:r>
      <w:r w:rsidR="00FA77CE">
        <w:rPr>
          <w:b/>
          <w:bCs/>
        </w:rPr>
        <w:t xml:space="preserve"> Trial Operations (</w:t>
      </w:r>
      <w:proofErr w:type="spellStart"/>
      <w:r w:rsidR="00BA58EE">
        <w:rPr>
          <w:b/>
          <w:bCs/>
        </w:rPr>
        <w:t>P</w:t>
      </w:r>
      <w:r w:rsidR="00FA77CE">
        <w:rPr>
          <w:b/>
          <w:bCs/>
        </w:rPr>
        <w:t>TOps</w:t>
      </w:r>
      <w:proofErr w:type="spellEnd"/>
      <w:r w:rsidR="00FA77CE">
        <w:rPr>
          <w:b/>
          <w:bCs/>
        </w:rPr>
        <w:t>)</w:t>
      </w:r>
      <w:r w:rsidR="00FA77CE" w:rsidRPr="0003085C">
        <w:rPr>
          <w:b/>
          <w:bCs/>
        </w:rPr>
        <w:t xml:space="preserve"> </w:t>
      </w:r>
      <w:r w:rsidR="00FA77CE">
        <w:rPr>
          <w:b/>
          <w:bCs/>
        </w:rPr>
        <w:t>to Learn from What We Do and Do What We Learn</w:t>
      </w:r>
      <w:r w:rsidR="00FA77CE" w:rsidRPr="0003085C">
        <w:rPr>
          <w:b/>
          <w:bCs/>
        </w:rPr>
        <w:t>:</w:t>
      </w:r>
      <w:r w:rsidR="00FA77CE">
        <w:rPr>
          <w:b/>
          <w:bCs/>
        </w:rPr>
        <w:t xml:space="preserve"> Integrating Research into Health Operations</w:t>
      </w:r>
      <w:r w:rsidR="00FA77CE" w:rsidRPr="0003085C">
        <w:rPr>
          <w:b/>
          <w:bCs/>
        </w:rPr>
        <w:t>—</w:t>
      </w:r>
      <w:r w:rsidR="00FA77CE">
        <w:t xml:space="preserve">Majid Afshar, Felice Resnik, Joel Gordon, Jason Dambach </w:t>
      </w:r>
    </w:p>
    <w:p w14:paraId="0AB365FE" w14:textId="3E72E952" w:rsidR="00FA77CE" w:rsidRPr="008B1971" w:rsidRDefault="00B32472" w:rsidP="00FA77CE">
      <w:pPr>
        <w:rPr>
          <w:i/>
          <w:iCs/>
        </w:rPr>
      </w:pPr>
      <w:r>
        <w:rPr>
          <w:i/>
          <w:iCs/>
        </w:rPr>
        <w:t>C</w:t>
      </w:r>
      <w:r w:rsidR="00FB42A6">
        <w:rPr>
          <w:i/>
          <w:iCs/>
        </w:rPr>
        <w:t>lose collaboration</w:t>
      </w:r>
      <w:r w:rsidR="00701D01">
        <w:rPr>
          <w:i/>
          <w:iCs/>
        </w:rPr>
        <w:t xml:space="preserve"> </w:t>
      </w:r>
      <w:r w:rsidR="00A27222">
        <w:rPr>
          <w:i/>
          <w:iCs/>
        </w:rPr>
        <w:t>between UW Health</w:t>
      </w:r>
      <w:r w:rsidR="002E6BA6">
        <w:rPr>
          <w:i/>
          <w:iCs/>
        </w:rPr>
        <w:t xml:space="preserve"> IS-</w:t>
      </w:r>
      <w:r w:rsidR="00A27222">
        <w:rPr>
          <w:i/>
          <w:iCs/>
        </w:rPr>
        <w:t xml:space="preserve">Operations </w:t>
      </w:r>
      <w:r w:rsidR="00533E86">
        <w:rPr>
          <w:i/>
          <w:iCs/>
        </w:rPr>
        <w:t>and</w:t>
      </w:r>
      <w:r w:rsidR="00A27222">
        <w:rPr>
          <w:i/>
          <w:iCs/>
        </w:rPr>
        <w:t xml:space="preserve"> ICTR LHS Research teams</w:t>
      </w:r>
      <w:r w:rsidR="00FB42A6">
        <w:rPr>
          <w:i/>
          <w:iCs/>
        </w:rPr>
        <w:t xml:space="preserve"> </w:t>
      </w:r>
      <w:r w:rsidR="004C5105">
        <w:rPr>
          <w:i/>
          <w:iCs/>
        </w:rPr>
        <w:t>is the lynchpin of</w:t>
      </w:r>
      <w:r w:rsidR="00FB42A6">
        <w:rPr>
          <w:i/>
          <w:iCs/>
        </w:rPr>
        <w:t xml:space="preserve"> </w:t>
      </w:r>
      <w:r w:rsidR="00A27222">
        <w:rPr>
          <w:i/>
          <w:iCs/>
        </w:rPr>
        <w:t>effective implementation</w:t>
      </w:r>
      <w:r w:rsidR="00FB42A6">
        <w:rPr>
          <w:i/>
          <w:iCs/>
        </w:rPr>
        <w:t xml:space="preserve"> </w:t>
      </w:r>
      <w:r w:rsidR="004C5105">
        <w:rPr>
          <w:i/>
          <w:iCs/>
        </w:rPr>
        <w:t>with</w:t>
      </w:r>
      <w:r w:rsidR="00A27222">
        <w:rPr>
          <w:i/>
          <w:iCs/>
        </w:rPr>
        <w:t xml:space="preserve"> a </w:t>
      </w:r>
      <w:r w:rsidR="00FB42A6">
        <w:rPr>
          <w:i/>
          <w:iCs/>
        </w:rPr>
        <w:t xml:space="preserve">large-scale LHS project </w:t>
      </w:r>
      <w:r w:rsidR="00A27222">
        <w:rPr>
          <w:i/>
          <w:iCs/>
        </w:rPr>
        <w:t xml:space="preserve">such as </w:t>
      </w:r>
      <w:r w:rsidR="004C5105">
        <w:rPr>
          <w:i/>
          <w:iCs/>
        </w:rPr>
        <w:t>UW Health’s</w:t>
      </w:r>
      <w:r w:rsidR="00A27222">
        <w:rPr>
          <w:i/>
          <w:iCs/>
        </w:rPr>
        <w:t xml:space="preserve"> Ambient Listening</w:t>
      </w:r>
      <w:r w:rsidR="004C5105">
        <w:rPr>
          <w:i/>
          <w:iCs/>
        </w:rPr>
        <w:t xml:space="preserve"> project</w:t>
      </w:r>
      <w:r w:rsidR="00A27222">
        <w:rPr>
          <w:i/>
          <w:iCs/>
        </w:rPr>
        <w:t xml:space="preserve">. </w:t>
      </w:r>
      <w:r w:rsidR="00D60B7B">
        <w:rPr>
          <w:i/>
          <w:iCs/>
        </w:rPr>
        <w:t>D</w:t>
      </w:r>
      <w:r w:rsidR="007201A0">
        <w:rPr>
          <w:i/>
          <w:iCs/>
        </w:rPr>
        <w:t>iscussion</w:t>
      </w:r>
      <w:r w:rsidR="00D60B7B">
        <w:rPr>
          <w:i/>
          <w:iCs/>
        </w:rPr>
        <w:t xml:space="preserve"> include</w:t>
      </w:r>
      <w:r w:rsidR="004C5105">
        <w:rPr>
          <w:i/>
          <w:iCs/>
        </w:rPr>
        <w:t>s</w:t>
      </w:r>
      <w:r w:rsidR="00D60B7B">
        <w:rPr>
          <w:i/>
          <w:iCs/>
        </w:rPr>
        <w:t xml:space="preserve"> strategies for </w:t>
      </w:r>
      <w:r w:rsidR="00A27222">
        <w:rPr>
          <w:i/>
          <w:iCs/>
        </w:rPr>
        <w:t>securing stakeholder buy-i</w:t>
      </w:r>
      <w:r w:rsidR="00D60B7B">
        <w:rPr>
          <w:i/>
          <w:iCs/>
        </w:rPr>
        <w:t>n</w:t>
      </w:r>
      <w:r w:rsidR="00701D01">
        <w:rPr>
          <w:i/>
          <w:iCs/>
        </w:rPr>
        <w:t>;</w:t>
      </w:r>
      <w:r w:rsidR="00D60B7B">
        <w:rPr>
          <w:i/>
          <w:iCs/>
        </w:rPr>
        <w:t xml:space="preserve"> project design to</w:t>
      </w:r>
      <w:r w:rsidR="00A27222">
        <w:rPr>
          <w:i/>
          <w:iCs/>
        </w:rPr>
        <w:t xml:space="preserve"> align</w:t>
      </w:r>
      <w:r w:rsidR="00FA77CE" w:rsidRPr="008B1971">
        <w:rPr>
          <w:i/>
          <w:iCs/>
        </w:rPr>
        <w:t xml:space="preserve"> </w:t>
      </w:r>
      <w:r w:rsidR="00A27222">
        <w:rPr>
          <w:i/>
          <w:iCs/>
        </w:rPr>
        <w:t>operational and research</w:t>
      </w:r>
      <w:r w:rsidR="00FA77CE" w:rsidRPr="008B1971">
        <w:rPr>
          <w:i/>
          <w:iCs/>
        </w:rPr>
        <w:t xml:space="preserve"> </w:t>
      </w:r>
      <w:r w:rsidR="00701D01">
        <w:rPr>
          <w:i/>
          <w:iCs/>
        </w:rPr>
        <w:t>goals/</w:t>
      </w:r>
      <w:r w:rsidR="00A27222">
        <w:rPr>
          <w:i/>
          <w:iCs/>
        </w:rPr>
        <w:t>metrics</w:t>
      </w:r>
      <w:r w:rsidR="00701D01">
        <w:rPr>
          <w:i/>
          <w:iCs/>
        </w:rPr>
        <w:t>/</w:t>
      </w:r>
      <w:r w:rsidR="00A27222">
        <w:rPr>
          <w:i/>
          <w:iCs/>
        </w:rPr>
        <w:t>timelines</w:t>
      </w:r>
      <w:r w:rsidR="006E1135">
        <w:rPr>
          <w:i/>
          <w:iCs/>
        </w:rPr>
        <w:t xml:space="preserve">; </w:t>
      </w:r>
      <w:r w:rsidR="005F2641">
        <w:rPr>
          <w:i/>
          <w:iCs/>
        </w:rPr>
        <w:t>creat</w:t>
      </w:r>
      <w:r w:rsidR="006E1135">
        <w:rPr>
          <w:i/>
          <w:iCs/>
        </w:rPr>
        <w:t>ing workstream</w:t>
      </w:r>
      <w:r w:rsidR="003A6814">
        <w:rPr>
          <w:i/>
          <w:iCs/>
        </w:rPr>
        <w:t xml:space="preserve"> groups to assess needs</w:t>
      </w:r>
      <w:r w:rsidR="005F2641">
        <w:rPr>
          <w:i/>
          <w:iCs/>
        </w:rPr>
        <w:t>, set up</w:t>
      </w:r>
      <w:r w:rsidR="003A6814">
        <w:rPr>
          <w:i/>
          <w:iCs/>
        </w:rPr>
        <w:t xml:space="preserve"> and monitor project activity</w:t>
      </w:r>
      <w:r w:rsidR="00701D01">
        <w:rPr>
          <w:i/>
          <w:iCs/>
        </w:rPr>
        <w:t>;</w:t>
      </w:r>
      <w:r w:rsidR="003A6814">
        <w:rPr>
          <w:i/>
          <w:iCs/>
        </w:rPr>
        <w:t xml:space="preserve"> an</w:t>
      </w:r>
      <w:r w:rsidR="00D60B7B">
        <w:rPr>
          <w:i/>
          <w:iCs/>
        </w:rPr>
        <w:t>d</w:t>
      </w:r>
      <w:r w:rsidR="007201A0">
        <w:rPr>
          <w:i/>
          <w:iCs/>
        </w:rPr>
        <w:t xml:space="preserve"> best practices </w:t>
      </w:r>
      <w:r w:rsidR="00D60B7B">
        <w:rPr>
          <w:i/>
          <w:iCs/>
        </w:rPr>
        <w:t xml:space="preserve">for </w:t>
      </w:r>
      <w:r w:rsidR="007201A0">
        <w:rPr>
          <w:i/>
          <w:iCs/>
        </w:rPr>
        <w:t>scale</w:t>
      </w:r>
      <w:r w:rsidR="00D60B7B">
        <w:rPr>
          <w:i/>
          <w:iCs/>
        </w:rPr>
        <w:t>-</w:t>
      </w:r>
      <w:r w:rsidR="007201A0">
        <w:rPr>
          <w:i/>
          <w:iCs/>
        </w:rPr>
        <w:t xml:space="preserve">up </w:t>
      </w:r>
      <w:r w:rsidR="00D60B7B">
        <w:rPr>
          <w:i/>
          <w:iCs/>
        </w:rPr>
        <w:t>of a sustainable</w:t>
      </w:r>
      <w:r w:rsidR="00FA77CE" w:rsidRPr="008B1971">
        <w:rPr>
          <w:i/>
          <w:iCs/>
        </w:rPr>
        <w:t xml:space="preserve"> learning health systems project. </w:t>
      </w:r>
    </w:p>
    <w:p w14:paraId="4BF0800A" w14:textId="6D18D767" w:rsidR="002119A5" w:rsidRDefault="006B5049" w:rsidP="00A546A3">
      <w:r>
        <w:rPr>
          <w:b/>
          <w:bCs/>
        </w:rPr>
        <w:t>11:30-11:50</w:t>
      </w:r>
      <w:r>
        <w:rPr>
          <w:b/>
          <w:bCs/>
        </w:rPr>
        <w:tab/>
      </w:r>
      <w:r w:rsidR="00A00AAA">
        <w:rPr>
          <w:b/>
          <w:bCs/>
        </w:rPr>
        <w:t xml:space="preserve">Systems </w:t>
      </w:r>
      <w:r w:rsidR="00BA58EE">
        <w:rPr>
          <w:b/>
          <w:bCs/>
        </w:rPr>
        <w:t xml:space="preserve">Engineering </w:t>
      </w:r>
      <w:r w:rsidR="00A546A3">
        <w:rPr>
          <w:b/>
          <w:bCs/>
        </w:rPr>
        <w:t>for Workflow Optimization</w:t>
      </w:r>
      <w:r w:rsidR="00276BA1" w:rsidRPr="0081056E">
        <w:rPr>
          <w:b/>
          <w:bCs/>
        </w:rPr>
        <w:t xml:space="preserve">: </w:t>
      </w:r>
      <w:r w:rsidR="00FF4144">
        <w:rPr>
          <w:b/>
          <w:bCs/>
        </w:rPr>
        <w:t>Research Grade-Analytics</w:t>
      </w:r>
      <w:r w:rsidR="0081056E">
        <w:t>—Hanna Barton, Sabrina Adelaine, Brian Patterson</w:t>
      </w:r>
    </w:p>
    <w:p w14:paraId="544E9960" w14:textId="332120FB" w:rsidR="002D2990" w:rsidRDefault="00DB66F8" w:rsidP="00A546A3">
      <w:pPr>
        <w:rPr>
          <w:i/>
          <w:iCs/>
        </w:rPr>
      </w:pPr>
      <w:r>
        <w:rPr>
          <w:i/>
          <w:iCs/>
        </w:rPr>
        <w:t>The</w:t>
      </w:r>
      <w:r w:rsidR="00AC10DD">
        <w:rPr>
          <w:i/>
          <w:iCs/>
        </w:rPr>
        <w:t xml:space="preserve"> m</w:t>
      </w:r>
      <w:r w:rsidR="00D03937">
        <w:rPr>
          <w:i/>
          <w:iCs/>
        </w:rPr>
        <w:t xml:space="preserve">ulti-disciplinary </w:t>
      </w:r>
      <w:r w:rsidR="00AC10DD">
        <w:rPr>
          <w:i/>
          <w:iCs/>
        </w:rPr>
        <w:t>approach</w:t>
      </w:r>
      <w:r w:rsidR="00D03937">
        <w:rPr>
          <w:i/>
          <w:iCs/>
        </w:rPr>
        <w:t xml:space="preserve"> and mixed-methods research</w:t>
      </w:r>
      <w:r w:rsidR="00AC10DD">
        <w:rPr>
          <w:i/>
          <w:iCs/>
        </w:rPr>
        <w:t xml:space="preserve"> design o</w:t>
      </w:r>
      <w:r>
        <w:rPr>
          <w:i/>
          <w:iCs/>
        </w:rPr>
        <w:t>f</w:t>
      </w:r>
      <w:r w:rsidR="00AC10DD">
        <w:rPr>
          <w:i/>
          <w:iCs/>
        </w:rPr>
        <w:t xml:space="preserve"> th</w:t>
      </w:r>
      <w:r>
        <w:rPr>
          <w:i/>
          <w:iCs/>
        </w:rPr>
        <w:t>e</w:t>
      </w:r>
      <w:r w:rsidR="00AC10DD">
        <w:rPr>
          <w:i/>
          <w:iCs/>
        </w:rPr>
        <w:t xml:space="preserve"> </w:t>
      </w:r>
      <w:r>
        <w:rPr>
          <w:i/>
          <w:iCs/>
        </w:rPr>
        <w:t>LHS</w:t>
      </w:r>
      <w:r w:rsidRPr="008B1971">
        <w:rPr>
          <w:i/>
          <w:iCs/>
        </w:rPr>
        <w:t xml:space="preserve"> Predictive ED to Inpatient Bed </w:t>
      </w:r>
      <w:r w:rsidR="00AC10DD">
        <w:rPr>
          <w:i/>
          <w:iCs/>
        </w:rPr>
        <w:t>demonstration project</w:t>
      </w:r>
      <w:r w:rsidR="00D03937">
        <w:rPr>
          <w:i/>
          <w:iCs/>
        </w:rPr>
        <w:t xml:space="preserve"> </w:t>
      </w:r>
      <w:r w:rsidR="00AC10DD">
        <w:rPr>
          <w:i/>
          <w:iCs/>
        </w:rPr>
        <w:t>generated</w:t>
      </w:r>
      <w:r>
        <w:rPr>
          <w:i/>
          <w:iCs/>
        </w:rPr>
        <w:t xml:space="preserve"> myriad insights and innovations that can serve as best practices for LHS projects. </w:t>
      </w:r>
      <w:r w:rsidR="00400C7A">
        <w:rPr>
          <w:i/>
          <w:iCs/>
        </w:rPr>
        <w:t>In particular, t</w:t>
      </w:r>
      <w:r w:rsidR="00D03937">
        <w:rPr>
          <w:i/>
          <w:iCs/>
        </w:rPr>
        <w:t>he project’s cross-institutional</w:t>
      </w:r>
      <w:r w:rsidR="00F43F51" w:rsidRPr="008B1971">
        <w:rPr>
          <w:i/>
          <w:iCs/>
        </w:rPr>
        <w:t xml:space="preserve"> implications </w:t>
      </w:r>
      <w:r w:rsidR="00D03937">
        <w:rPr>
          <w:i/>
          <w:iCs/>
        </w:rPr>
        <w:t>and lessons learned</w:t>
      </w:r>
      <w:r w:rsidR="00400C7A">
        <w:rPr>
          <w:i/>
          <w:iCs/>
        </w:rPr>
        <w:t xml:space="preserve"> i</w:t>
      </w:r>
      <w:r w:rsidR="00D03937">
        <w:rPr>
          <w:i/>
          <w:iCs/>
        </w:rPr>
        <w:t xml:space="preserve">nform the opportunities and challenges of managing change within and </w:t>
      </w:r>
      <w:r w:rsidR="00F43F51" w:rsidRPr="008B1971">
        <w:rPr>
          <w:i/>
          <w:iCs/>
        </w:rPr>
        <w:t xml:space="preserve">across </w:t>
      </w:r>
      <w:r w:rsidR="0038478A" w:rsidRPr="008B1971">
        <w:rPr>
          <w:i/>
          <w:iCs/>
        </w:rPr>
        <w:t>learning health systems.</w:t>
      </w:r>
    </w:p>
    <w:p w14:paraId="3C61460D" w14:textId="1E4A91FD" w:rsidR="009B183C" w:rsidRDefault="00967D66" w:rsidP="009B183C">
      <w:r>
        <w:rPr>
          <w:b/>
          <w:bCs/>
        </w:rPr>
        <w:t>11:50-</w:t>
      </w:r>
      <w:r w:rsidR="00063B2D">
        <w:rPr>
          <w:b/>
          <w:bCs/>
        </w:rPr>
        <w:t xml:space="preserve">12:10 </w:t>
      </w:r>
      <w:r w:rsidR="00BA58EE">
        <w:rPr>
          <w:b/>
          <w:bCs/>
        </w:rPr>
        <w:tab/>
        <w:t>Implement</w:t>
      </w:r>
      <w:r w:rsidR="009B183C" w:rsidRPr="00D51FAB">
        <w:rPr>
          <w:b/>
          <w:bCs/>
        </w:rPr>
        <w:t xml:space="preserve">ing an Effective LHS Project </w:t>
      </w:r>
      <w:r w:rsidR="009B183C">
        <w:t>–Sara Westergaard,</w:t>
      </w:r>
      <w:r w:rsidR="001251CC">
        <w:t xml:space="preserve"> </w:t>
      </w:r>
      <w:r w:rsidR="00792F97">
        <w:t>Jordan Overfelt</w:t>
      </w:r>
      <w:r w:rsidR="00E52B65">
        <w:t>, Anne Gravel Sullivan</w:t>
      </w:r>
    </w:p>
    <w:p w14:paraId="7AC92C52" w14:textId="79689F36" w:rsidR="009B183C" w:rsidRDefault="005C45B0" w:rsidP="009B183C">
      <w:pPr>
        <w:rPr>
          <w:i/>
          <w:iCs/>
        </w:rPr>
      </w:pPr>
      <w:r>
        <w:rPr>
          <w:i/>
          <w:iCs/>
        </w:rPr>
        <w:t>W</w:t>
      </w:r>
      <w:r w:rsidR="00AF002E">
        <w:rPr>
          <w:i/>
          <w:iCs/>
        </w:rPr>
        <w:t>hat makes for a successful LHS project,</w:t>
      </w:r>
      <w:r w:rsidR="006E21CF">
        <w:rPr>
          <w:i/>
          <w:iCs/>
        </w:rPr>
        <w:t xml:space="preserve"> </w:t>
      </w:r>
      <w:r>
        <w:rPr>
          <w:i/>
          <w:iCs/>
        </w:rPr>
        <w:t>whether it’s</w:t>
      </w:r>
      <w:r w:rsidR="00427E2E">
        <w:rPr>
          <w:i/>
          <w:iCs/>
        </w:rPr>
        <w:t xml:space="preserve"> for</w:t>
      </w:r>
      <w:r>
        <w:rPr>
          <w:i/>
          <w:iCs/>
        </w:rPr>
        <w:t xml:space="preserve"> a</w:t>
      </w:r>
      <w:r w:rsidR="006E21CF">
        <w:rPr>
          <w:i/>
          <w:iCs/>
        </w:rPr>
        <w:t xml:space="preserve"> large-scale outpatient </w:t>
      </w:r>
      <w:r>
        <w:rPr>
          <w:i/>
          <w:iCs/>
        </w:rPr>
        <w:t>or</w:t>
      </w:r>
      <w:r w:rsidR="006E21CF">
        <w:rPr>
          <w:i/>
          <w:iCs/>
        </w:rPr>
        <w:t xml:space="preserve"> </w:t>
      </w:r>
      <w:r w:rsidR="00DB3FC3">
        <w:rPr>
          <w:i/>
          <w:iCs/>
        </w:rPr>
        <w:t>localized inpatient</w:t>
      </w:r>
      <w:r w:rsidR="00427E2E">
        <w:rPr>
          <w:i/>
          <w:iCs/>
        </w:rPr>
        <w:t xml:space="preserve"> intervention</w:t>
      </w:r>
      <w:r w:rsidR="004B5398">
        <w:rPr>
          <w:i/>
          <w:iCs/>
        </w:rPr>
        <w:t>?</w:t>
      </w:r>
      <w:r w:rsidR="00DB3FC3">
        <w:rPr>
          <w:i/>
          <w:iCs/>
        </w:rPr>
        <w:t xml:space="preserve"> </w:t>
      </w:r>
      <w:r w:rsidR="009B183C" w:rsidRPr="008B1971">
        <w:rPr>
          <w:i/>
          <w:iCs/>
        </w:rPr>
        <w:t xml:space="preserve"> </w:t>
      </w:r>
      <w:r w:rsidR="00247DF5">
        <w:rPr>
          <w:i/>
          <w:iCs/>
        </w:rPr>
        <w:t xml:space="preserve">2024 </w:t>
      </w:r>
      <w:r w:rsidR="00DB3FC3">
        <w:rPr>
          <w:i/>
          <w:iCs/>
        </w:rPr>
        <w:t>LHS Demonstration Project</w:t>
      </w:r>
      <w:r w:rsidR="00247DF5">
        <w:rPr>
          <w:i/>
          <w:iCs/>
        </w:rPr>
        <w:t xml:space="preserve"> awardee</w:t>
      </w:r>
      <w:r w:rsidR="00216D21">
        <w:rPr>
          <w:i/>
          <w:iCs/>
        </w:rPr>
        <w:t xml:space="preserve"> Sara Westergaard shares the strategies she u</w:t>
      </w:r>
      <w:r w:rsidR="00BE466A">
        <w:rPr>
          <w:i/>
          <w:iCs/>
        </w:rPr>
        <w:t>s</w:t>
      </w:r>
      <w:r w:rsidR="002B69E4">
        <w:rPr>
          <w:i/>
          <w:iCs/>
        </w:rPr>
        <w:t>e</w:t>
      </w:r>
      <w:r w:rsidR="00BE466A">
        <w:rPr>
          <w:i/>
          <w:iCs/>
        </w:rPr>
        <w:t>d</w:t>
      </w:r>
      <w:r w:rsidR="002B69E4">
        <w:rPr>
          <w:i/>
          <w:iCs/>
        </w:rPr>
        <w:t xml:space="preserve"> in h</w:t>
      </w:r>
      <w:r w:rsidR="00A67B6B">
        <w:rPr>
          <w:i/>
          <w:iCs/>
        </w:rPr>
        <w:t>er</w:t>
      </w:r>
      <w:r w:rsidR="00426D2B">
        <w:rPr>
          <w:i/>
          <w:iCs/>
        </w:rPr>
        <w:t xml:space="preserve"> winning</w:t>
      </w:r>
      <w:r w:rsidR="00A67B6B">
        <w:rPr>
          <w:i/>
          <w:iCs/>
        </w:rPr>
        <w:t xml:space="preserve"> inpatient project design</w:t>
      </w:r>
      <w:r w:rsidR="00C916D5">
        <w:rPr>
          <w:i/>
          <w:iCs/>
        </w:rPr>
        <w:t>, while</w:t>
      </w:r>
      <w:r w:rsidR="00A67B6B">
        <w:rPr>
          <w:i/>
          <w:iCs/>
        </w:rPr>
        <w:t xml:space="preserve"> </w:t>
      </w:r>
      <w:r w:rsidR="00C23921">
        <w:rPr>
          <w:i/>
          <w:iCs/>
        </w:rPr>
        <w:t>Jordan Overfelt discusses</w:t>
      </w:r>
      <w:r w:rsidR="00216D21">
        <w:rPr>
          <w:i/>
          <w:iCs/>
        </w:rPr>
        <w:t xml:space="preserve"> </w:t>
      </w:r>
      <w:r w:rsidR="007C3977">
        <w:rPr>
          <w:i/>
          <w:iCs/>
        </w:rPr>
        <w:t>best pr</w:t>
      </w:r>
      <w:r w:rsidR="009B183C" w:rsidRPr="008B1971">
        <w:rPr>
          <w:i/>
          <w:iCs/>
        </w:rPr>
        <w:t>actice</w:t>
      </w:r>
      <w:r w:rsidR="00C23921">
        <w:rPr>
          <w:i/>
          <w:iCs/>
        </w:rPr>
        <w:t xml:space="preserve">s and lessons learned from </w:t>
      </w:r>
      <w:r w:rsidR="004403F2">
        <w:rPr>
          <w:i/>
          <w:iCs/>
        </w:rPr>
        <w:t>the PCORI-funded</w:t>
      </w:r>
      <w:r w:rsidR="00AF002E">
        <w:rPr>
          <w:i/>
          <w:iCs/>
        </w:rPr>
        <w:t xml:space="preserve"> </w:t>
      </w:r>
      <w:r w:rsidR="00427E2E">
        <w:rPr>
          <w:i/>
          <w:iCs/>
        </w:rPr>
        <w:t xml:space="preserve">UW </w:t>
      </w:r>
      <w:r w:rsidR="00154D67">
        <w:rPr>
          <w:i/>
          <w:iCs/>
        </w:rPr>
        <w:t>Health</w:t>
      </w:r>
      <w:r w:rsidR="00687D16">
        <w:rPr>
          <w:i/>
          <w:iCs/>
        </w:rPr>
        <w:t xml:space="preserve"> </w:t>
      </w:r>
      <w:r w:rsidR="00154D67">
        <w:rPr>
          <w:i/>
          <w:iCs/>
        </w:rPr>
        <w:t>Systems Implementation Initiative (HSII)</w:t>
      </w:r>
      <w:r w:rsidR="00F67330">
        <w:rPr>
          <w:i/>
          <w:iCs/>
        </w:rPr>
        <w:t xml:space="preserve"> award </w:t>
      </w:r>
      <w:r w:rsidR="00687D16">
        <w:rPr>
          <w:i/>
          <w:iCs/>
        </w:rPr>
        <w:t>for</w:t>
      </w:r>
      <w:r w:rsidR="00F67330">
        <w:rPr>
          <w:i/>
          <w:iCs/>
        </w:rPr>
        <w:t xml:space="preserve"> Primary </w:t>
      </w:r>
      <w:r w:rsidR="004B5398">
        <w:rPr>
          <w:i/>
          <w:iCs/>
        </w:rPr>
        <w:t>Care.</w:t>
      </w:r>
    </w:p>
    <w:p w14:paraId="7F663B07" w14:textId="55E07EA8" w:rsidR="003F033C" w:rsidRPr="003F033C" w:rsidRDefault="00063B2D" w:rsidP="009B183C">
      <w:r>
        <w:rPr>
          <w:b/>
          <w:bCs/>
        </w:rPr>
        <w:t>12:10-12:</w:t>
      </w:r>
      <w:r w:rsidR="003C0B7E">
        <w:rPr>
          <w:b/>
          <w:bCs/>
        </w:rPr>
        <w:t>35</w:t>
      </w:r>
      <w:r w:rsidR="003C0B7E">
        <w:rPr>
          <w:b/>
          <w:bCs/>
        </w:rPr>
        <w:tab/>
      </w:r>
      <w:r w:rsidR="003F033C">
        <w:rPr>
          <w:b/>
          <w:bCs/>
        </w:rPr>
        <w:t>LHS Sustainment Proposal Exercise</w:t>
      </w:r>
      <w:r w:rsidR="003F033C" w:rsidRPr="003F033C">
        <w:t xml:space="preserve"> –</w:t>
      </w:r>
      <w:r w:rsidR="003F033C">
        <w:t>Facilitator: Anne Gravel Sullivan</w:t>
      </w:r>
    </w:p>
    <w:p w14:paraId="68F9A370" w14:textId="623ED5A3" w:rsidR="00FA77CE" w:rsidRPr="005F08B9" w:rsidRDefault="003C0B7E">
      <w:r>
        <w:rPr>
          <w:b/>
          <w:bCs/>
        </w:rPr>
        <w:t>12:35-1:00</w:t>
      </w:r>
      <w:r>
        <w:rPr>
          <w:b/>
          <w:bCs/>
        </w:rPr>
        <w:tab/>
      </w:r>
      <w:r w:rsidR="009B183C">
        <w:rPr>
          <w:b/>
          <w:bCs/>
        </w:rPr>
        <w:t xml:space="preserve">Attendee Q&amp;A/Discussion </w:t>
      </w:r>
      <w:r w:rsidR="00362723">
        <w:t>–</w:t>
      </w:r>
      <w:r w:rsidR="009B183C">
        <w:t xml:space="preserve"> </w:t>
      </w:r>
      <w:r w:rsidR="00362723">
        <w:t>Moderator: Anne Gravel Sulliva</w:t>
      </w:r>
      <w:r>
        <w:t>n</w:t>
      </w:r>
    </w:p>
    <w:sectPr w:rsidR="00FA77CE" w:rsidRPr="005F08B9" w:rsidSect="002961C8">
      <w:pgSz w:w="12240" w:h="15840"/>
      <w:pgMar w:top="806" w:right="1152" w:bottom="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B5390"/>
    <w:multiLevelType w:val="hybridMultilevel"/>
    <w:tmpl w:val="B0066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D2D42"/>
    <w:multiLevelType w:val="hybridMultilevel"/>
    <w:tmpl w:val="DEDAC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44792">
    <w:abstractNumId w:val="1"/>
  </w:num>
  <w:num w:numId="2" w16cid:durableId="57162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1NzQ3NTU0MTU3NTNU0lEKTi0uzszPAykwrAUAue6RAiwAAAA="/>
  </w:docVars>
  <w:rsids>
    <w:rsidRoot w:val="002C358F"/>
    <w:rsid w:val="00005630"/>
    <w:rsid w:val="000144E5"/>
    <w:rsid w:val="0003028E"/>
    <w:rsid w:val="0003085C"/>
    <w:rsid w:val="00063B2D"/>
    <w:rsid w:val="00090E08"/>
    <w:rsid w:val="00090F1D"/>
    <w:rsid w:val="000A48DE"/>
    <w:rsid w:val="000C5C68"/>
    <w:rsid w:val="000D25DE"/>
    <w:rsid w:val="000D2A54"/>
    <w:rsid w:val="000F0937"/>
    <w:rsid w:val="000F4227"/>
    <w:rsid w:val="0010258F"/>
    <w:rsid w:val="001251CC"/>
    <w:rsid w:val="00154D67"/>
    <w:rsid w:val="001600C0"/>
    <w:rsid w:val="001B07B9"/>
    <w:rsid w:val="001B25B5"/>
    <w:rsid w:val="002119A5"/>
    <w:rsid w:val="00216D21"/>
    <w:rsid w:val="002459A1"/>
    <w:rsid w:val="00247DF5"/>
    <w:rsid w:val="00262F16"/>
    <w:rsid w:val="0027467E"/>
    <w:rsid w:val="00276BA1"/>
    <w:rsid w:val="002961C8"/>
    <w:rsid w:val="002A35D8"/>
    <w:rsid w:val="002B69E4"/>
    <w:rsid w:val="002C358F"/>
    <w:rsid w:val="002C5834"/>
    <w:rsid w:val="002C6871"/>
    <w:rsid w:val="002D2990"/>
    <w:rsid w:val="002D7CC5"/>
    <w:rsid w:val="002E0F21"/>
    <w:rsid w:val="002E574D"/>
    <w:rsid w:val="002E6BA6"/>
    <w:rsid w:val="002F55B1"/>
    <w:rsid w:val="003149DC"/>
    <w:rsid w:val="003521C3"/>
    <w:rsid w:val="00361D52"/>
    <w:rsid w:val="00362723"/>
    <w:rsid w:val="00373C1F"/>
    <w:rsid w:val="0038478A"/>
    <w:rsid w:val="003A0D73"/>
    <w:rsid w:val="003A40D4"/>
    <w:rsid w:val="003A6034"/>
    <w:rsid w:val="003A6814"/>
    <w:rsid w:val="003C0B7E"/>
    <w:rsid w:val="003F033C"/>
    <w:rsid w:val="003F7C3D"/>
    <w:rsid w:val="00400C7A"/>
    <w:rsid w:val="00426D2B"/>
    <w:rsid w:val="00427E2E"/>
    <w:rsid w:val="00434F3D"/>
    <w:rsid w:val="004403F2"/>
    <w:rsid w:val="004461C7"/>
    <w:rsid w:val="00461DC5"/>
    <w:rsid w:val="004728F3"/>
    <w:rsid w:val="004768BC"/>
    <w:rsid w:val="00480074"/>
    <w:rsid w:val="004A13CD"/>
    <w:rsid w:val="004A59DB"/>
    <w:rsid w:val="004B5398"/>
    <w:rsid w:val="004C5105"/>
    <w:rsid w:val="0051611E"/>
    <w:rsid w:val="00533E86"/>
    <w:rsid w:val="00552AA8"/>
    <w:rsid w:val="00564F15"/>
    <w:rsid w:val="00564FCB"/>
    <w:rsid w:val="005874C8"/>
    <w:rsid w:val="005A25C7"/>
    <w:rsid w:val="005C45B0"/>
    <w:rsid w:val="005D3494"/>
    <w:rsid w:val="005F08B9"/>
    <w:rsid w:val="005F2641"/>
    <w:rsid w:val="00604389"/>
    <w:rsid w:val="00650307"/>
    <w:rsid w:val="00661A5A"/>
    <w:rsid w:val="00664208"/>
    <w:rsid w:val="00683807"/>
    <w:rsid w:val="00687D16"/>
    <w:rsid w:val="006B3F18"/>
    <w:rsid w:val="006B5049"/>
    <w:rsid w:val="006C0E50"/>
    <w:rsid w:val="006E1135"/>
    <w:rsid w:val="006E21CF"/>
    <w:rsid w:val="00701D01"/>
    <w:rsid w:val="007201A0"/>
    <w:rsid w:val="00726F05"/>
    <w:rsid w:val="00757D1A"/>
    <w:rsid w:val="00760C14"/>
    <w:rsid w:val="00767670"/>
    <w:rsid w:val="00773228"/>
    <w:rsid w:val="00792F97"/>
    <w:rsid w:val="007B22BD"/>
    <w:rsid w:val="007C3977"/>
    <w:rsid w:val="00807291"/>
    <w:rsid w:val="0081056E"/>
    <w:rsid w:val="00811741"/>
    <w:rsid w:val="008263E3"/>
    <w:rsid w:val="00847982"/>
    <w:rsid w:val="00852B47"/>
    <w:rsid w:val="00885500"/>
    <w:rsid w:val="008918E3"/>
    <w:rsid w:val="00893DB5"/>
    <w:rsid w:val="00894199"/>
    <w:rsid w:val="008B1971"/>
    <w:rsid w:val="008C76C2"/>
    <w:rsid w:val="008E702B"/>
    <w:rsid w:val="008F1879"/>
    <w:rsid w:val="008F728A"/>
    <w:rsid w:val="00905332"/>
    <w:rsid w:val="009460A8"/>
    <w:rsid w:val="009550F6"/>
    <w:rsid w:val="00967D66"/>
    <w:rsid w:val="009B07AC"/>
    <w:rsid w:val="009B183C"/>
    <w:rsid w:val="009F3569"/>
    <w:rsid w:val="009F4CDC"/>
    <w:rsid w:val="00A00AAA"/>
    <w:rsid w:val="00A235BD"/>
    <w:rsid w:val="00A27222"/>
    <w:rsid w:val="00A546A3"/>
    <w:rsid w:val="00A61046"/>
    <w:rsid w:val="00A67B6B"/>
    <w:rsid w:val="00A76631"/>
    <w:rsid w:val="00A81B8F"/>
    <w:rsid w:val="00AA4D74"/>
    <w:rsid w:val="00AC0928"/>
    <w:rsid w:val="00AC10DD"/>
    <w:rsid w:val="00AC7A66"/>
    <w:rsid w:val="00AD31CF"/>
    <w:rsid w:val="00AD3375"/>
    <w:rsid w:val="00AE7DB6"/>
    <w:rsid w:val="00AF002E"/>
    <w:rsid w:val="00B05946"/>
    <w:rsid w:val="00B32472"/>
    <w:rsid w:val="00B52796"/>
    <w:rsid w:val="00B84F4C"/>
    <w:rsid w:val="00B96BB9"/>
    <w:rsid w:val="00BA58EE"/>
    <w:rsid w:val="00BC1A15"/>
    <w:rsid w:val="00BE466A"/>
    <w:rsid w:val="00C1059F"/>
    <w:rsid w:val="00C1380D"/>
    <w:rsid w:val="00C23921"/>
    <w:rsid w:val="00C406A9"/>
    <w:rsid w:val="00C47744"/>
    <w:rsid w:val="00C826D0"/>
    <w:rsid w:val="00C84673"/>
    <w:rsid w:val="00C87678"/>
    <w:rsid w:val="00C916D5"/>
    <w:rsid w:val="00CD3C8B"/>
    <w:rsid w:val="00CE282B"/>
    <w:rsid w:val="00CE53A7"/>
    <w:rsid w:val="00CF40B2"/>
    <w:rsid w:val="00D03937"/>
    <w:rsid w:val="00D201D6"/>
    <w:rsid w:val="00D232D6"/>
    <w:rsid w:val="00D2687C"/>
    <w:rsid w:val="00D3385A"/>
    <w:rsid w:val="00D4197A"/>
    <w:rsid w:val="00D433C7"/>
    <w:rsid w:val="00D51FAB"/>
    <w:rsid w:val="00D534B6"/>
    <w:rsid w:val="00D60B7B"/>
    <w:rsid w:val="00D67973"/>
    <w:rsid w:val="00D7118C"/>
    <w:rsid w:val="00D956BB"/>
    <w:rsid w:val="00DA6FE7"/>
    <w:rsid w:val="00DB3FC3"/>
    <w:rsid w:val="00DB66F8"/>
    <w:rsid w:val="00DD274F"/>
    <w:rsid w:val="00DE6AE7"/>
    <w:rsid w:val="00DF76D1"/>
    <w:rsid w:val="00E021C0"/>
    <w:rsid w:val="00E26401"/>
    <w:rsid w:val="00E31D0D"/>
    <w:rsid w:val="00E52B65"/>
    <w:rsid w:val="00E537C2"/>
    <w:rsid w:val="00E53D26"/>
    <w:rsid w:val="00E761EE"/>
    <w:rsid w:val="00EB435F"/>
    <w:rsid w:val="00EE4E47"/>
    <w:rsid w:val="00EF00D0"/>
    <w:rsid w:val="00F43F51"/>
    <w:rsid w:val="00F47DD4"/>
    <w:rsid w:val="00F51CDD"/>
    <w:rsid w:val="00F67330"/>
    <w:rsid w:val="00F70248"/>
    <w:rsid w:val="00FA77CE"/>
    <w:rsid w:val="00FB29D1"/>
    <w:rsid w:val="00FB42A6"/>
    <w:rsid w:val="00FC7C9E"/>
    <w:rsid w:val="00FE7FDA"/>
    <w:rsid w:val="00FF0BFC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BA71"/>
  <w15:chartTrackingRefBased/>
  <w15:docId w15:val="{CD9D5D4D-1C88-47D3-91AC-C0CB18A2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5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5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5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5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5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5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5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5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5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5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58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A4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4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40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0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41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Company>UW Madison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GRAVEL SULLIVAN</dc:creator>
  <cp:keywords/>
  <dc:description/>
  <cp:lastModifiedBy>Anne GRAVEL SULLIVAN</cp:lastModifiedBy>
  <cp:revision>2</cp:revision>
  <dcterms:created xsi:type="dcterms:W3CDTF">2024-12-05T16:36:00Z</dcterms:created>
  <dcterms:modified xsi:type="dcterms:W3CDTF">2024-12-05T16:36:00Z</dcterms:modified>
</cp:coreProperties>
</file>